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0D" w:rsidRPr="00A214FB" w:rsidRDefault="003E04B3" w:rsidP="008A582F">
      <w:pPr>
        <w:jc w:val="center"/>
        <w:rPr>
          <w:rFonts w:ascii="华文中宋" w:eastAsia="华文中宋" w:hAnsi="华文中宋" w:cs="微软雅黑"/>
          <w:color w:val="000000" w:themeColor="text1"/>
          <w:sz w:val="28"/>
          <w:szCs w:val="28"/>
        </w:rPr>
      </w:pPr>
      <w:bookmarkStart w:id="0" w:name="_GoBack"/>
      <w:r>
        <w:rPr>
          <w:rFonts w:ascii="华文中宋" w:eastAsia="华文中宋" w:hAnsi="华文中宋" w:cs="微软雅黑" w:hint="eastAsia"/>
          <w:color w:val="000000" w:themeColor="text1"/>
          <w:sz w:val="28"/>
          <w:szCs w:val="28"/>
        </w:rPr>
        <w:t>生物样品库设备</w:t>
      </w:r>
      <w:r w:rsidR="00B26EA4" w:rsidRPr="00A214FB">
        <w:rPr>
          <w:rFonts w:ascii="华文中宋" w:eastAsia="华文中宋" w:hAnsi="华文中宋" w:cs="微软雅黑" w:hint="eastAsia"/>
          <w:color w:val="000000" w:themeColor="text1"/>
          <w:sz w:val="28"/>
          <w:szCs w:val="28"/>
        </w:rPr>
        <w:t>采购项目需求</w:t>
      </w:r>
      <w:bookmarkEnd w:id="0"/>
    </w:p>
    <w:p w:rsidR="00A566FD" w:rsidRPr="00122205" w:rsidRDefault="00122205" w:rsidP="00122205">
      <w:pPr>
        <w:pStyle w:val="a6"/>
        <w:jc w:val="left"/>
        <w:rPr>
          <w:rFonts w:ascii="华文中宋" w:eastAsia="华文中宋" w:hAnsi="华文中宋" w:cs="微软雅黑"/>
          <w:color w:val="000000"/>
          <w:sz w:val="18"/>
          <w:szCs w:val="18"/>
        </w:rPr>
      </w:pPr>
      <w:r w:rsidRPr="00122205">
        <w:rPr>
          <w:rFonts w:ascii="华文中宋" w:eastAsia="华文中宋" w:hAnsi="华文中宋" w:cs="微软雅黑" w:hint="eastAsia"/>
          <w:color w:val="000000"/>
          <w:sz w:val="18"/>
          <w:szCs w:val="18"/>
        </w:rPr>
        <w:t>一、采购内容</w:t>
      </w:r>
    </w:p>
    <w:tbl>
      <w:tblPr>
        <w:tblW w:w="8506" w:type="dxa"/>
        <w:tblInd w:w="-8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"/>
        <w:gridCol w:w="5617"/>
        <w:gridCol w:w="1843"/>
      </w:tblGrid>
      <w:tr w:rsidR="00A566FD" w:rsidRPr="00734117" w:rsidTr="000C10B7">
        <w:trPr>
          <w:trHeight w:val="383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122205" w:rsidP="002B24E2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734117" w:rsidRDefault="00A566FD" w:rsidP="002E61C1">
            <w:pPr>
              <w:pStyle w:val="a7"/>
              <w:spacing w:before="0" w:beforeAutospacing="0" w:after="0" w:afterAutospacing="0"/>
              <w:jc w:val="center"/>
              <w:rPr>
                <w:rFonts w:hint="default"/>
                <w:color w:val="000000"/>
                <w:sz w:val="18"/>
                <w:szCs w:val="18"/>
              </w:rPr>
            </w:pPr>
            <w:r w:rsidRPr="0073411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数量</w:t>
            </w:r>
          </w:p>
        </w:tc>
      </w:tr>
      <w:tr w:rsidR="00A566FD" w:rsidRPr="00734117" w:rsidTr="000C10B7">
        <w:trPr>
          <w:trHeight w:val="4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A214FB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A214FB">
              <w:rPr>
                <w:rFonts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D223DD" w:rsidRDefault="00A214FB" w:rsidP="000C10B7">
            <w:pPr>
              <w:autoSpaceDE w:val="0"/>
              <w:autoSpaceDN w:val="0"/>
              <w:adjustRightInd w:val="0"/>
              <w:ind w:left="840"/>
              <w:jc w:val="left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D223DD"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  <w:t>负196℃全自动液氮存储系统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D223DD" w:rsidRDefault="00A214FB" w:rsidP="000C10B7">
            <w:pPr>
              <w:autoSpaceDE w:val="0"/>
              <w:autoSpaceDN w:val="0"/>
              <w:adjustRightInd w:val="0"/>
              <w:ind w:left="840"/>
              <w:jc w:val="left"/>
              <w:rPr>
                <w:rFonts w:ascii="华文中宋" w:eastAsia="华文中宋" w:hAnsi="华文中宋" w:cs="微软雅黑"/>
                <w:color w:val="000000"/>
                <w:szCs w:val="21"/>
              </w:rPr>
            </w:pPr>
            <w:r w:rsidRPr="00D223DD">
              <w:rPr>
                <w:rFonts w:ascii="华文中宋" w:eastAsia="华文中宋" w:hAnsi="华文中宋" w:cs="微软雅黑"/>
                <w:color w:val="000000"/>
                <w:szCs w:val="21"/>
              </w:rPr>
              <w:t>1</w:t>
            </w:r>
            <w:r w:rsidR="002E61C1">
              <w:rPr>
                <w:rFonts w:ascii="华文中宋" w:eastAsia="华文中宋" w:hAnsi="华文中宋" w:cs="微软雅黑" w:hint="eastAsia"/>
                <w:color w:val="000000"/>
                <w:szCs w:val="21"/>
              </w:rPr>
              <w:t>套</w:t>
            </w:r>
          </w:p>
        </w:tc>
      </w:tr>
      <w:tr w:rsidR="00A566FD" w:rsidRPr="00734117" w:rsidTr="000C10B7">
        <w:trPr>
          <w:trHeight w:val="4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A214FB" w:rsidRDefault="00A566FD" w:rsidP="00A566FD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 w:rsidRPr="00A214FB">
              <w:rPr>
                <w:rFonts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D223DD" w:rsidRDefault="00A214FB" w:rsidP="000C10B7">
            <w:pPr>
              <w:autoSpaceDE w:val="0"/>
              <w:autoSpaceDN w:val="0"/>
              <w:adjustRightInd w:val="0"/>
              <w:ind w:left="840"/>
              <w:jc w:val="left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D223DD"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  <w:t>负80℃全自动低温存储系统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A566FD" w:rsidRPr="00D223DD" w:rsidRDefault="00A214FB" w:rsidP="000C10B7">
            <w:pPr>
              <w:autoSpaceDE w:val="0"/>
              <w:autoSpaceDN w:val="0"/>
              <w:adjustRightInd w:val="0"/>
              <w:ind w:left="840"/>
              <w:jc w:val="left"/>
              <w:rPr>
                <w:rFonts w:ascii="华文中宋" w:eastAsia="华文中宋" w:hAnsi="华文中宋" w:cs="微软雅黑"/>
                <w:color w:val="000000"/>
                <w:szCs w:val="21"/>
              </w:rPr>
            </w:pPr>
            <w:r w:rsidRPr="00D223DD">
              <w:rPr>
                <w:rFonts w:ascii="华文中宋" w:eastAsia="华文中宋" w:hAnsi="华文中宋" w:cs="微软雅黑"/>
                <w:color w:val="000000"/>
                <w:szCs w:val="21"/>
              </w:rPr>
              <w:t>1</w:t>
            </w:r>
            <w:r w:rsidR="002E61C1">
              <w:rPr>
                <w:rFonts w:ascii="华文中宋" w:eastAsia="华文中宋" w:hAnsi="华文中宋" w:cs="微软雅黑" w:hint="eastAsia"/>
                <w:color w:val="000000"/>
                <w:szCs w:val="21"/>
              </w:rPr>
              <w:t>套</w:t>
            </w:r>
          </w:p>
        </w:tc>
      </w:tr>
      <w:tr w:rsidR="003E04B3" w:rsidRPr="00734117" w:rsidTr="000C10B7">
        <w:trPr>
          <w:trHeight w:val="4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E04B3" w:rsidRPr="00A214FB" w:rsidRDefault="003E04B3" w:rsidP="00A566FD">
            <w:pPr>
              <w:pStyle w:val="a7"/>
              <w:spacing w:before="0" w:beforeAutospacing="0" w:after="0" w:afterAutospacing="0"/>
              <w:jc w:val="center"/>
              <w:rPr>
                <w:rFonts w:cs="宋体" w:hint="default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E04B3" w:rsidRPr="00D223DD" w:rsidRDefault="003E04B3" w:rsidP="000C10B7">
            <w:pPr>
              <w:autoSpaceDE w:val="0"/>
              <w:autoSpaceDN w:val="0"/>
              <w:adjustRightInd w:val="0"/>
              <w:ind w:left="840"/>
              <w:jc w:val="left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D223DD"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  <w:t>气相液氮罐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3E04B3" w:rsidRPr="00D223DD" w:rsidRDefault="003E04B3" w:rsidP="000C10B7">
            <w:pPr>
              <w:autoSpaceDE w:val="0"/>
              <w:autoSpaceDN w:val="0"/>
              <w:adjustRightInd w:val="0"/>
              <w:ind w:left="840"/>
              <w:jc w:val="left"/>
              <w:rPr>
                <w:rFonts w:ascii="华文中宋" w:eastAsia="华文中宋" w:hAnsi="华文中宋" w:cs="微软雅黑"/>
                <w:color w:val="000000"/>
                <w:szCs w:val="21"/>
              </w:rPr>
            </w:pPr>
            <w:r w:rsidRPr="00D223DD">
              <w:rPr>
                <w:rFonts w:ascii="华文中宋" w:eastAsia="华文中宋" w:hAnsi="华文中宋" w:cs="微软雅黑"/>
                <w:color w:val="000000"/>
                <w:szCs w:val="21"/>
              </w:rPr>
              <w:t>5</w:t>
            </w:r>
            <w:r w:rsidR="002E61C1">
              <w:rPr>
                <w:rFonts w:ascii="华文中宋" w:eastAsia="华文中宋" w:hAnsi="华文中宋" w:cs="微软雅黑" w:hint="eastAsia"/>
                <w:color w:val="000000"/>
                <w:szCs w:val="21"/>
              </w:rPr>
              <w:t>套</w:t>
            </w:r>
          </w:p>
        </w:tc>
      </w:tr>
    </w:tbl>
    <w:p w:rsidR="00A566FD" w:rsidRDefault="00A566FD" w:rsidP="00A566FD">
      <w:pPr>
        <w:jc w:val="left"/>
        <w:rPr>
          <w:rFonts w:ascii="华文中宋" w:eastAsia="华文中宋" w:hAnsi="华文中宋" w:cs="微软雅黑"/>
          <w:color w:val="000000" w:themeColor="text1"/>
          <w:sz w:val="30"/>
          <w:szCs w:val="30"/>
        </w:rPr>
      </w:pPr>
    </w:p>
    <w:p w:rsidR="00A566FD" w:rsidRPr="00734117" w:rsidRDefault="00122205" w:rsidP="00122205">
      <w:pPr>
        <w:pStyle w:val="a6"/>
        <w:jc w:val="left"/>
        <w:rPr>
          <w:rFonts w:ascii="华文中宋" w:eastAsia="华文中宋" w:hAnsi="华文中宋" w:cs="微软雅黑"/>
          <w:color w:val="000000"/>
          <w:sz w:val="18"/>
          <w:szCs w:val="18"/>
        </w:rPr>
      </w:pPr>
      <w:r>
        <w:rPr>
          <w:rFonts w:ascii="华文中宋" w:eastAsia="华文中宋" w:hAnsi="华文中宋" w:cs="微软雅黑" w:hint="eastAsia"/>
          <w:color w:val="000000"/>
          <w:sz w:val="18"/>
          <w:szCs w:val="18"/>
        </w:rPr>
        <w:t>二、</w:t>
      </w:r>
      <w:r w:rsidR="00A566FD" w:rsidRPr="00734117">
        <w:rPr>
          <w:rFonts w:ascii="华文中宋" w:eastAsia="华文中宋" w:hAnsi="华文中宋" w:cs="微软雅黑" w:hint="eastAsia"/>
          <w:color w:val="000000"/>
          <w:sz w:val="18"/>
          <w:szCs w:val="18"/>
        </w:rPr>
        <w:t>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8"/>
        <w:gridCol w:w="7204"/>
      </w:tblGrid>
      <w:tr w:rsidR="00A566FD" w:rsidRPr="00734117" w:rsidTr="00A214FB">
        <w:trPr>
          <w:trHeight w:val="515"/>
        </w:trPr>
        <w:tc>
          <w:tcPr>
            <w:tcW w:w="1318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204" w:type="dxa"/>
            <w:vAlign w:val="center"/>
          </w:tcPr>
          <w:p w:rsidR="00A566FD" w:rsidRPr="00734117" w:rsidRDefault="00A566FD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734117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主要技术条款要求</w:t>
            </w:r>
          </w:p>
        </w:tc>
      </w:tr>
      <w:tr w:rsidR="00A566FD" w:rsidRPr="00734117" w:rsidTr="00A214FB">
        <w:tc>
          <w:tcPr>
            <w:tcW w:w="1318" w:type="dxa"/>
            <w:vAlign w:val="center"/>
          </w:tcPr>
          <w:p w:rsidR="00A566FD" w:rsidRPr="00734117" w:rsidRDefault="00A214FB" w:rsidP="002B24E2">
            <w:pPr>
              <w:jc w:val="center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A214FB"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  <w:t>负196</w:t>
            </w:r>
            <w:r w:rsidRPr="00A214FB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t>℃</w:t>
            </w:r>
            <w:r w:rsidRPr="00A214FB"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  <w:t>全自动液氮存储系统</w:t>
            </w:r>
          </w:p>
        </w:tc>
        <w:tc>
          <w:tcPr>
            <w:tcW w:w="7204" w:type="dxa"/>
            <w:vAlign w:val="center"/>
          </w:tcPr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全流程深低温保护，防止反复冻融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F2246A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样本的提取、转移、扫描、寻位、置入等各环节实现玻璃化温度以下的闭环深低温保护，防止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反复冻融，保障样本活性。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蜂巢式独立存储单元，规避交叉干扰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蜂巢式结构，实现独立单元存储，无外界暴露，规避交叉感染；铝合金材质，防辐射、避光，降温快速，蓄冷均衡，有效保持存储区温度低于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-150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℃。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3.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不结霜冻，实现无氧存储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双门密封传递窗和干燥净化系统设计，铝管设计低温饱和氮气垂直向上流动，形成烟囱效应，有效杜绝湿气和杂质进入，防止结霜结冻，实现无氧存储。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4.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精准单支取样，保障无辜样本安全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可对指定单支样本精准挑取，并置于板架上避免对周边无辜样本的干扰，有效保障样本安全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5.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大批量、可预约化存取，提高存储效率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内置暂存罐，最多可实现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12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个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SBS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板架常温样本快速存储入库；不限批次可提前预约出库样本，实现高效取样。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6.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双模式智能操作系统，信息可追溯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软件系统具备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GMP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和科研双模式，灵活满足各种存储操作需求，可自动分解和下达各项需求指令，对样本高效检索和预约操作，能全线追溯样本信息。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7.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分区降温，节能耐用</w:t>
            </w:r>
          </w:p>
          <w:p w:rsidR="00A214FB" w:rsidRPr="00577345" w:rsidRDefault="00A214FB" w:rsidP="00E7780D">
            <w:pPr>
              <w:autoSpaceDE w:val="0"/>
              <w:autoSpaceDN w:val="0"/>
              <w:adjustRightInd w:val="0"/>
              <w:ind w:left="242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存储罐工作舱分区域工作环境，无须预冷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,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有效节省能耗，减少低温对机械装置的损耗，保障设备运行的可靠性稳定性。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8.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自动加注液氮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 xml:space="preserve"> 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可一键智能对转运罐加注液氮，无需手动操作，安全可靠。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9.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低液氮消耗，内仓盖自动旋转定位系统，快速定位挑管位置，降低液氮的消耗，保障存储以及工作区域的温度稳定性。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10.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视觉系统识别，智能监控设备内部运行状态，保证设备可靠性。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11.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可定制管型，有效兼容市面品牌冻存管，还可根据客户需求，灵活定制管型。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12.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多重预警保护液位、温度报警及自动补给系统，长效保持库内温度恒定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13.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紧急样本转移保护，紧急情况下样本可快速转运或转移，且罐体有效蓄冷，确保安全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14.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选配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UPS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电源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 xml:space="preserve"> 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提供不间断供电保障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lastRenderedPageBreak/>
              <w:t>15.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设备尺寸（外径）：≤ 1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50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0(W)mm×2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28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0(D)mm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16.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设备高度 ≤2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29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0(H) mm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17.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设备重量（空重）≤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268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0kg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18.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存储容量： 1ml 冻存管数量≤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120000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支，2ml 冻存管数量≤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60000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支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19.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冻存管保存温度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：≤-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150℃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20.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静态液氮消耗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量：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15-20kg/d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21.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电压/频率/电流：220V/50HZ/16A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22.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待机功率：300W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23.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最大功率：750W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24.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存储结构：蜂巢式铝合金管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25.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冻存管保护环境：气相液氮环境</w:t>
            </w:r>
          </w:p>
          <w:p w:rsidR="00A214FB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26.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触摸屏/PC端：17寸</w:t>
            </w:r>
          </w:p>
          <w:p w:rsidR="00A566FD" w:rsidRPr="00E7780D" w:rsidRDefault="00E7780D" w:rsidP="00E7780D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27.</w:t>
            </w:r>
            <w:r w:rsidR="00A214FB" w:rsidRPr="00E7780D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配置智能传递窗，预留 AGV 机器人和智能中控系统接口，可实现大型智能无人化库运行 进气接口：φ12.7 笋状快插</w:t>
            </w:r>
            <w:r w:rsidR="00A214FB" w:rsidRPr="00E7780D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。</w:t>
            </w:r>
          </w:p>
        </w:tc>
      </w:tr>
      <w:tr w:rsidR="00A214FB" w:rsidRPr="00734117" w:rsidTr="00A214FB">
        <w:tc>
          <w:tcPr>
            <w:tcW w:w="1318" w:type="dxa"/>
            <w:vAlign w:val="center"/>
          </w:tcPr>
          <w:p w:rsidR="00A214FB" w:rsidRPr="00A214FB" w:rsidRDefault="00A214FB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A214FB">
              <w:rPr>
                <w:rFonts w:ascii="华文中宋" w:eastAsia="华文中宋" w:hAnsi="华文中宋" w:cs="微软雅黑" w:hint="eastAsia"/>
                <w:color w:val="000000"/>
                <w:sz w:val="18"/>
                <w:szCs w:val="18"/>
              </w:rPr>
              <w:lastRenderedPageBreak/>
              <w:t>负80℃全自动低温存储系统</w:t>
            </w:r>
          </w:p>
        </w:tc>
        <w:tc>
          <w:tcPr>
            <w:tcW w:w="7204" w:type="dxa"/>
            <w:vAlign w:val="center"/>
          </w:tcPr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1、设备内部干燥方式：设备内部可通过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必要的干燥空气的补充，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维持微正压压力，避免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外部空气进入，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避免结霜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2、单支挑管方式：内置单支挑管模块，可智能按需实现单支挑管，单支挑管节拍最快≤8秒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3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、采用存储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支架提升的运行方式，无需堆叠板架，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可快速提取目标样本盒。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4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、配置板架队列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批量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存取功能，可实现18个SBS板架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批次队列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出入库。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5、采用卧式冰箱设计，利于存储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区域的温度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均衡稳定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6、适用性：可适用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各种品牌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及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规格的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SBS低温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板架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存取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并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可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实现对多种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品牌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0.5mL、0.75、1mL、2mL等规格冻存管的单支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样本精准存取挑管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，且挑管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过程在存储区域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的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低温环境内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完成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，保护样本安全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7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、智能化数据管理，信息可追溯。实时监控设备内部运行环境及安全参数，高清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视频监控并记录操作过程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。内置自动多级报警装置，确保样本存储和操作过程安全可靠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8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、可实现样本信息高效检索，内置整板及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单支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扫码功能，可预约存取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9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、配人机操作触摸屏，操作软件界面易学且友好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10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、专用制冷压缩机，备置液氮制冷功能，可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大大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节省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首次降温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运行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的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时间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，并作为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应急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情况下的后备制冷单元，确保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样本安全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11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、设备外形尺寸（宽×深×高）：≤ 1350×2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45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0×2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20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0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mm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12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、设备净重：≤1100kg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3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、存储容量：0.5ml/0.75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mL冻存管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SBS板架1330只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，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0.5ml/0.75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mL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冻存管存储数量12768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0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支（冻存管及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板架高度不超过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35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mm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）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14、最低存储温度：-8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0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±4℃</w:t>
            </w:r>
          </w:p>
          <w:p w:rsidR="007B6CB7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15、制冷耗电量：≤24kWh/24h（标准测试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条件下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）</w:t>
            </w:r>
          </w:p>
          <w:p w:rsidR="00A214FB" w:rsidRPr="00577345" w:rsidRDefault="00A214FB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16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、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最大额定功率：</w:t>
            </w: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3</w:t>
            </w:r>
            <w:r w:rsidRPr="00577345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kW</w:t>
            </w:r>
          </w:p>
          <w:p w:rsidR="00A214FB" w:rsidRPr="00577345" w:rsidRDefault="00A214FB" w:rsidP="00A214FB">
            <w:pPr>
              <w:spacing w:line="360" w:lineRule="auto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17、进气接口：φ12.7笋状快插（设备侧公）</w:t>
            </w:r>
          </w:p>
          <w:p w:rsidR="00A214FB" w:rsidRPr="00A214FB" w:rsidRDefault="00A214FB" w:rsidP="00577345">
            <w:pPr>
              <w:spacing w:line="360" w:lineRule="auto"/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577345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18、质保期： 12个月</w:t>
            </w:r>
          </w:p>
        </w:tc>
      </w:tr>
      <w:tr w:rsidR="003E04B3" w:rsidRPr="00734117" w:rsidTr="00A214FB">
        <w:tc>
          <w:tcPr>
            <w:tcW w:w="1318" w:type="dxa"/>
            <w:vAlign w:val="center"/>
          </w:tcPr>
          <w:p w:rsidR="003E04B3" w:rsidRPr="00A214FB" w:rsidRDefault="003E04B3" w:rsidP="002B24E2">
            <w:pPr>
              <w:jc w:val="center"/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</w:pPr>
            <w:r w:rsidRPr="003E04B3">
              <w:rPr>
                <w:rFonts w:ascii="华文中宋" w:eastAsia="华文中宋" w:hAnsi="华文中宋" w:cs="微软雅黑"/>
                <w:color w:val="000000"/>
                <w:sz w:val="18"/>
                <w:szCs w:val="18"/>
              </w:rPr>
              <w:t>气相液氮罐</w:t>
            </w:r>
          </w:p>
        </w:tc>
        <w:tc>
          <w:tcPr>
            <w:tcW w:w="7204" w:type="dxa"/>
            <w:vAlign w:val="center"/>
          </w:tcPr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性能指标：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1) *样本存储量每台在42000个（2ml冻存管）或以上，配备原装进口真空液氮传输软管，冻存架（国产），液氮补给罐。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2) *交互系统：带有全彩触摸屏，可实时显示过去30天内的温度和液位波动情况。内置数字键盘，方便设置和密码输入。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3) 进液系统：两个电磁阀 – 当运行的电磁阀发生故障时，备用的电磁阀自动切换继续运行，确保罐的正</w:t>
            </w: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lastRenderedPageBreak/>
              <w:t>常使用。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4) *热气旁路系统：在补液的初始阶段不让高于零下69度的液氮氮气混合物进入样本区域，保证样本安全，实现气相液氮存储的最基本的功能。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5) 液面控制：压差感应式 –其精度灵敏，液位消耗高度可显示（液氮每消耗0.1inch都可显示出来）。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6) 操作台面：大尺寸操作平台、极大方便人员操作。电子元件实现全覆盖，延长了设备使用寿命。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7) *数据存储及报警系统：带USB端口的.</w:t>
            </w:r>
            <w:proofErr w:type="spellStart"/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cvs</w:t>
            </w:r>
            <w:proofErr w:type="spellEnd"/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表格下载，可安全存储近期事件记录，包括温度、液氮水平、系统事件和系统报警等，带在线打印机口，还可以通过内置以太网接口在手机或电脑端查看设备状态。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8) *外部罐体设计：一体式设计，符合AABB规范，预留第三方监测口，此监测口不可他用。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9) 液氮挥发量：每天静态消耗量不超过7.5升。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10) *内部设计：内部有效容积730升以上，转盘上采用R形分隔设计，实现空间最大化利用，转盘下可存不少于115升的液氮，以保证极端情况的样本安全时间，以及在安全液位范围时罐口下的温度在零下185摄氏度以下，以及不锈钢支架最顶端温度维持在零下190摄氏度以下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11) 检修维护系统 1，方便的配件更换设计，如温度探头可轻松取出，所有电磁阀打开上盖即可更换。2，方便的数据记录检视菜单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12) *厂家资质：有压力容器和管道生产资质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13) *阵列控制：多台气相罐可组成一个阵列系统，统一补液。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14) *备用编程控制：可通过电脑ASCII编辑设备参数，跳过显示器</w:t>
            </w:r>
          </w:p>
          <w:p w:rsid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2配置清单：</w:t>
            </w:r>
            <w:r w:rsidRPr="003E04B3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 xml:space="preserve"> 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  <w:t>1</w:t>
            </w: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）主罐：带有全彩触摸屏，配备原装进口真空液氮传输软管1根。</w:t>
            </w:r>
          </w:p>
          <w:p w:rsidR="003E04B3" w:rsidRPr="003E04B3" w:rsidRDefault="003E04B3" w:rsidP="003E04B3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2）国内采购不锈钢支架：26个（14层）用于放置100孔冻存盒（用于2ml冻存管）的支架，16个（14层）用于放置25孔冻存盒（用于2ml冻存管）的支架。</w:t>
            </w:r>
          </w:p>
          <w:p w:rsidR="003E04B3" w:rsidRPr="003E04B3" w:rsidRDefault="003E04B3" w:rsidP="007B6CB7">
            <w:pPr>
              <w:rPr>
                <w:rFonts w:ascii="华文中宋" w:eastAsia="华文中宋" w:hAnsi="华文中宋" w:cs="微软雅黑"/>
                <w:color w:val="000000"/>
                <w:sz w:val="15"/>
                <w:szCs w:val="15"/>
              </w:rPr>
            </w:pPr>
            <w:r w:rsidRPr="003E04B3">
              <w:rPr>
                <w:rFonts w:ascii="华文中宋" w:eastAsia="华文中宋" w:hAnsi="华文中宋" w:cs="微软雅黑" w:hint="eastAsia"/>
                <w:color w:val="000000"/>
                <w:sz w:val="15"/>
                <w:szCs w:val="15"/>
              </w:rPr>
              <w:t>3）对应的230L低压液氮补给罐1个。</w:t>
            </w:r>
          </w:p>
        </w:tc>
      </w:tr>
    </w:tbl>
    <w:p w:rsidR="00254704" w:rsidRPr="00A214FB" w:rsidRDefault="00254704" w:rsidP="009773C0">
      <w:pPr>
        <w:jc w:val="left"/>
        <w:rPr>
          <w:rFonts w:ascii="华文中宋" w:eastAsia="华文中宋" w:hAnsi="华文中宋" w:cs="微软雅黑"/>
          <w:color w:val="000000" w:themeColor="text1"/>
          <w:sz w:val="15"/>
          <w:szCs w:val="15"/>
        </w:rPr>
      </w:pPr>
    </w:p>
    <w:sectPr w:rsidR="00254704" w:rsidRPr="00A214FB" w:rsidSect="0035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8A" w:rsidRDefault="0030788A" w:rsidP="00DD02AC">
      <w:r>
        <w:separator/>
      </w:r>
    </w:p>
  </w:endnote>
  <w:endnote w:type="continuationSeparator" w:id="0">
    <w:p w:rsidR="0030788A" w:rsidRDefault="0030788A" w:rsidP="00DD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8A" w:rsidRDefault="0030788A" w:rsidP="00DD02AC">
      <w:r>
        <w:separator/>
      </w:r>
    </w:p>
  </w:footnote>
  <w:footnote w:type="continuationSeparator" w:id="0">
    <w:p w:rsidR="0030788A" w:rsidRDefault="0030788A" w:rsidP="00DD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206E"/>
    <w:multiLevelType w:val="multilevel"/>
    <w:tmpl w:val="1B79206E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▲"/>
      <w:lvlJc w:val="left"/>
      <w:pPr>
        <w:ind w:left="780" w:hanging="360"/>
      </w:pPr>
      <w:rPr>
        <w:rFonts w:ascii="宋体" w:eastAsia="宋体" w:hAnsi="宋体" w:cs="等线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B56CEE"/>
    <w:multiLevelType w:val="hybridMultilevel"/>
    <w:tmpl w:val="9834A6A6"/>
    <w:lvl w:ilvl="0" w:tplc="8C18F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2488E"/>
    <w:multiLevelType w:val="hybridMultilevel"/>
    <w:tmpl w:val="8A462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0F0521"/>
    <w:multiLevelType w:val="singleLevel"/>
    <w:tmpl w:val="620F052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4D"/>
    <w:rsid w:val="000308BB"/>
    <w:rsid w:val="000C10B7"/>
    <w:rsid w:val="000E44B7"/>
    <w:rsid w:val="00122205"/>
    <w:rsid w:val="00140FE6"/>
    <w:rsid w:val="00145896"/>
    <w:rsid w:val="00172055"/>
    <w:rsid w:val="00174969"/>
    <w:rsid w:val="001A59C0"/>
    <w:rsid w:val="00224B6E"/>
    <w:rsid w:val="00235CC3"/>
    <w:rsid w:val="00254704"/>
    <w:rsid w:val="002666ED"/>
    <w:rsid w:val="002819E0"/>
    <w:rsid w:val="002C79CA"/>
    <w:rsid w:val="002E61C1"/>
    <w:rsid w:val="00303F22"/>
    <w:rsid w:val="0030788A"/>
    <w:rsid w:val="00333476"/>
    <w:rsid w:val="0035411D"/>
    <w:rsid w:val="003734E3"/>
    <w:rsid w:val="00383DB6"/>
    <w:rsid w:val="003A57CA"/>
    <w:rsid w:val="003B01AA"/>
    <w:rsid w:val="003E04B3"/>
    <w:rsid w:val="0040322E"/>
    <w:rsid w:val="00467C98"/>
    <w:rsid w:val="00483114"/>
    <w:rsid w:val="004A6821"/>
    <w:rsid w:val="004D18E2"/>
    <w:rsid w:val="004F5DD8"/>
    <w:rsid w:val="005007BB"/>
    <w:rsid w:val="00527226"/>
    <w:rsid w:val="00577345"/>
    <w:rsid w:val="005A3CAD"/>
    <w:rsid w:val="005A67B2"/>
    <w:rsid w:val="005B6FB5"/>
    <w:rsid w:val="005E63D8"/>
    <w:rsid w:val="005F605F"/>
    <w:rsid w:val="00632084"/>
    <w:rsid w:val="006709F2"/>
    <w:rsid w:val="006A1BA3"/>
    <w:rsid w:val="006B4122"/>
    <w:rsid w:val="007029CD"/>
    <w:rsid w:val="007245C5"/>
    <w:rsid w:val="00755175"/>
    <w:rsid w:val="00781A02"/>
    <w:rsid w:val="007B17AF"/>
    <w:rsid w:val="007B6CB7"/>
    <w:rsid w:val="007D1163"/>
    <w:rsid w:val="0087100D"/>
    <w:rsid w:val="008A582F"/>
    <w:rsid w:val="008C6A19"/>
    <w:rsid w:val="008D40E4"/>
    <w:rsid w:val="009116C7"/>
    <w:rsid w:val="00921254"/>
    <w:rsid w:val="0095624D"/>
    <w:rsid w:val="009773C0"/>
    <w:rsid w:val="009B455E"/>
    <w:rsid w:val="009E7E4B"/>
    <w:rsid w:val="00A00CF1"/>
    <w:rsid w:val="00A214FB"/>
    <w:rsid w:val="00A566FD"/>
    <w:rsid w:val="00A67ABB"/>
    <w:rsid w:val="00B26EA4"/>
    <w:rsid w:val="00B71D4C"/>
    <w:rsid w:val="00B73346"/>
    <w:rsid w:val="00BC602A"/>
    <w:rsid w:val="00C15814"/>
    <w:rsid w:val="00C41A4C"/>
    <w:rsid w:val="00CE1A54"/>
    <w:rsid w:val="00CE6CA8"/>
    <w:rsid w:val="00D223DD"/>
    <w:rsid w:val="00D7380F"/>
    <w:rsid w:val="00DA429F"/>
    <w:rsid w:val="00DA6AEF"/>
    <w:rsid w:val="00DD02AC"/>
    <w:rsid w:val="00DD0AC1"/>
    <w:rsid w:val="00DE0129"/>
    <w:rsid w:val="00DE26A2"/>
    <w:rsid w:val="00DF52D8"/>
    <w:rsid w:val="00DF62F0"/>
    <w:rsid w:val="00E27B99"/>
    <w:rsid w:val="00E40A80"/>
    <w:rsid w:val="00E64D6D"/>
    <w:rsid w:val="00E7780D"/>
    <w:rsid w:val="00EA3528"/>
    <w:rsid w:val="00F10255"/>
    <w:rsid w:val="00F120F2"/>
    <w:rsid w:val="00F1594D"/>
    <w:rsid w:val="00F2246A"/>
    <w:rsid w:val="00F5488A"/>
    <w:rsid w:val="00F67D85"/>
    <w:rsid w:val="21893172"/>
    <w:rsid w:val="3583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qFormat/>
    <w:rsid w:val="0035411D"/>
    <w:pPr>
      <w:adjustRightInd w:val="0"/>
      <w:spacing w:before="120"/>
      <w:textAlignment w:val="baseline"/>
    </w:pPr>
    <w:rPr>
      <w:rFonts w:eastAsia="微软雅黑" w:cs="Arial"/>
      <w:kern w:val="0"/>
      <w:sz w:val="24"/>
      <w:szCs w:val="20"/>
      <w:lang w:eastAsia="ja-JP"/>
    </w:rPr>
  </w:style>
  <w:style w:type="paragraph" w:styleId="a4">
    <w:name w:val="footer"/>
    <w:basedOn w:val="a"/>
    <w:link w:val="Char"/>
    <w:uiPriority w:val="99"/>
    <w:semiHidden/>
    <w:unhideWhenUsed/>
    <w:rsid w:val="0035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5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5411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35411D"/>
    <w:rPr>
      <w:sz w:val="18"/>
      <w:szCs w:val="18"/>
    </w:rPr>
  </w:style>
  <w:style w:type="character" w:customStyle="1" w:styleId="Char1">
    <w:name w:val="标题 Char"/>
    <w:link w:val="a6"/>
    <w:rsid w:val="00A566FD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Title"/>
    <w:basedOn w:val="a"/>
    <w:next w:val="a"/>
    <w:link w:val="Char1"/>
    <w:qFormat/>
    <w:rsid w:val="00A566FD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link w:val="a6"/>
    <w:uiPriority w:val="10"/>
    <w:rsid w:val="00A566FD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7">
    <w:name w:val="Normal (Web)"/>
    <w:basedOn w:val="a"/>
    <w:rsid w:val="00A566F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214FB"/>
    <w:pPr>
      <w:spacing w:line="460" w:lineRule="exact"/>
      <w:ind w:firstLineChars="200" w:firstLine="420"/>
    </w:pPr>
    <w:rPr>
      <w:rFonts w:eastAsia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9E2BC6-8806-4E46-A1EE-564DEE04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429</Words>
  <Characters>2449</Characters>
  <Application>Microsoft Office Word</Application>
  <DocSecurity>0</DocSecurity>
  <Lines>20</Lines>
  <Paragraphs>5</Paragraphs>
  <ScaleCrop>false</ScaleCrop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Liangyb</dc:creator>
  <cp:lastModifiedBy>netuser</cp:lastModifiedBy>
  <cp:revision>27</cp:revision>
  <dcterms:created xsi:type="dcterms:W3CDTF">2020-07-20T02:13:00Z</dcterms:created>
  <dcterms:modified xsi:type="dcterms:W3CDTF">2020-08-21T03:58:00Z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