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黑体" w:hAnsi="黑体" w:eastAsia="黑体" w:cs="宋体"/>
          <w:b/>
          <w:sz w:val="24"/>
          <w:szCs w:val="44"/>
        </w:rPr>
      </w:pPr>
      <w:r>
        <w:rPr>
          <w:rFonts w:hint="eastAsia" w:ascii="黑体" w:hAnsi="黑体" w:eastAsia="黑体" w:cs="宋体"/>
          <w:b/>
          <w:sz w:val="44"/>
          <w:szCs w:val="44"/>
          <w:lang w:eastAsia="zh-CN"/>
        </w:rPr>
        <w:t>附件</w:t>
      </w:r>
      <w:r>
        <w:rPr>
          <w:rFonts w:hint="eastAsia" w:ascii="黑体" w:hAnsi="黑体" w:eastAsia="黑体" w:cs="宋体"/>
          <w:b/>
          <w:sz w:val="44"/>
          <w:szCs w:val="44"/>
          <w:lang w:val="en-US" w:eastAsia="zh-CN"/>
        </w:rPr>
        <w:t>1：</w:t>
      </w:r>
      <w:bookmarkStart w:id="0" w:name="_GoBack"/>
      <w:bookmarkEnd w:id="0"/>
      <w:r>
        <w:rPr>
          <w:rFonts w:hint="eastAsia" w:ascii="黑体" w:hAnsi="黑体" w:eastAsia="黑体" w:cs="宋体"/>
          <w:b/>
          <w:sz w:val="44"/>
          <w:szCs w:val="44"/>
        </w:rPr>
        <w:t>服务器区防火墙采购项目需求</w:t>
      </w:r>
    </w:p>
    <w:p>
      <w:pPr>
        <w:widowControl/>
        <w:spacing w:before="100" w:beforeAutospacing="1" w:after="100" w:afterAutospacing="1"/>
        <w:outlineLvl w:val="0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一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ascii="宋体" w:hAnsi="宋体" w:cs="宋体"/>
          <w:b/>
          <w:sz w:val="24"/>
        </w:rPr>
        <w:t xml:space="preserve">采购设备清单 </w:t>
      </w:r>
    </w:p>
    <w:tbl>
      <w:tblPr>
        <w:tblStyle w:val="3"/>
        <w:tblW w:w="750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3"/>
        <w:gridCol w:w="3968"/>
        <w:gridCol w:w="21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2"/>
                <w:szCs w:val="22"/>
              </w:rPr>
              <w:t>设备名称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2"/>
                <w:szCs w:val="22"/>
              </w:rPr>
              <w:t>总数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防火墙（含安装实施费用）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sz w:val="22"/>
                <w:szCs w:val="22"/>
              </w:rPr>
              <w:t>套</w:t>
            </w:r>
          </w:p>
        </w:tc>
      </w:tr>
    </w:tbl>
    <w:p>
      <w:pPr>
        <w:widowControl/>
        <w:spacing w:before="100" w:beforeAutospacing="1" w:after="100" w:afterAutospacing="1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二</w:t>
      </w:r>
      <w:r>
        <w:rPr>
          <w:rFonts w:hint="eastAsia" w:ascii="宋体" w:hAnsi="宋体" w:cs="宋体"/>
          <w:b/>
          <w:sz w:val="24"/>
        </w:rPr>
        <w:t>、参数要求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b/>
                <w:bCs/>
                <w:snapToGrid/>
                <w:color w:val="000000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00000"/>
              </w:rPr>
              <w:t>指标项</w:t>
            </w:r>
          </w:p>
        </w:tc>
        <w:tc>
          <w:tcPr>
            <w:tcW w:w="6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b/>
                <w:bCs/>
                <w:snapToGrid/>
                <w:color w:val="000000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00000"/>
              </w:rPr>
              <w:t>技术规格要求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配置要求</w:t>
            </w:r>
          </w:p>
        </w:tc>
        <w:tc>
          <w:tcPr>
            <w:tcW w:w="6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实配：千兆电口≥16，万兆光口≥12，40GE接口≥2； SSL VPN并发数≥5000，IPSec VPN隧道≥15000，虚拟防火墙数量≥1000，固态硬盘≥240GB，配置可插拔双电源，冗余风扇；配置三年入侵防御、防病毒、URL过滤、云沙箱升级检测服务；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ascii="宋体" w:hAnsi="宋体"/>
                <w:snapToGrid/>
                <w:color w:val="000000"/>
              </w:rPr>
              <w:t>光纤模块要求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ascii="宋体" w:hAnsi="宋体"/>
                <w:snapToGrid/>
                <w:color w:val="000000"/>
              </w:rPr>
              <w:t>实配≥6个万兆光模块</w:t>
            </w:r>
            <w:r>
              <w:rPr>
                <w:rFonts w:hint="eastAsia" w:ascii="宋体" w:hAnsi="宋体"/>
                <w:snapToGrid/>
                <w:color w:val="000000"/>
              </w:rPr>
              <w:t>，</w:t>
            </w:r>
            <w:r>
              <w:rPr>
                <w:rFonts w:ascii="宋体" w:hAnsi="宋体"/>
                <w:snapToGrid/>
                <w:color w:val="000000"/>
              </w:rPr>
              <w:t>2个40GE接口光模块</w:t>
            </w:r>
            <w:r>
              <w:rPr>
                <w:rFonts w:hint="eastAsia" w:ascii="宋体" w:hAnsi="宋体"/>
                <w:snapToGrid/>
                <w:color w:val="000000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性能要求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吞吐量≥40Gbps，最大并发连接数≥1200万，每秒新建连接数≥40万，IPSec吞吐量≥30Gbps，IPS吞吐量≥15Gbps, SSL_VPN吞吐量≥3Gbps ,SSL代理吞吐量≥6Gbps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策略管控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 xml:space="preserve">能够基于时间、用户/用户组/安全组、应用层协议、地理位置、IP地址、端口、域名组、URL分类、接入类型、终端类型、设备组、内容安全统一界面进行安全策略配置；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路由功能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支持静态路由、策略路由、RIP、OSPF、BGP、ISIS等路由协议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策略路由支持的匹配条件：源IP/目的IP，服务类型，应用类型，用户(组)，入接口，DSCP优先级；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流量控制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可支持基于应用层协议设置流控策略，包括设置最大带宽、保证带宽、协议流量优先级等；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 xml:space="preserve">支持基于用户，IP的带宽保证；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支持每IP， 每用户的最大连接数限制，防护服务器；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支持流量整形；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策略管理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支持策略的模糊查询，策略组，策略规则标签，方便策略的管理及运维；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支持将基于端口的安全策略转换为基于应用的安全策略，分析设备策略风险，及冗余策略，提供安全策略优化建议；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DDoS防护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支持HTTP、HTTPS、DNS、SIP等应用层Flood攻击，支持流量自学习功能，可设置自学习时间，并自动生成DDoS防范策略；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</w:t>
            </w:r>
            <w:r>
              <w:rPr>
                <w:snapToGrid/>
                <w:color w:val="000000"/>
              </w:rPr>
              <w:t>IP</w:t>
            </w:r>
            <w:r>
              <w:rPr>
                <w:rFonts w:hint="eastAsia" w:ascii="宋体" w:hAnsi="宋体"/>
                <w:snapToGrid/>
                <w:color w:val="000000"/>
              </w:rPr>
              <w:t>信誉；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NAT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支持全面NAT功能，对多种应用层协议支持ALG功能，包括ILS、DNS、PPTP、SIP、FTP、ICQ、RTSP、QQ、MSN、MMS等；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支持源NAT地址池使用率超限告警；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入侵防御及病毒防护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 xml:space="preserve"> 基于特征检测，支持超过</w:t>
            </w:r>
            <w:r>
              <w:rPr>
                <w:snapToGrid/>
                <w:color w:val="000000"/>
              </w:rPr>
              <w:t>8000</w:t>
            </w:r>
            <w:r>
              <w:rPr>
                <w:rFonts w:hint="eastAsia" w:ascii="宋体" w:hAnsi="宋体"/>
                <w:snapToGrid/>
                <w:color w:val="000000"/>
              </w:rPr>
              <w:t>种特征的攻击检测和防御；（提供功能截图）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支持对常见应用服务（HTTP、FTP、SSH、SMTP、IMAP）和数据库软件（MySQL、Oracle、MSSQL）的口令暴力破解防护功能；</w:t>
            </w:r>
            <w:r>
              <w:rPr>
                <w:rFonts w:ascii="宋体" w:hAnsi="宋体"/>
                <w:snapToGrid/>
                <w:color w:val="00000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支持恶意域名过滤，实现对C&amp;C进行阻断；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加密流量安全防护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支持对HTTPS，POP3S，SMTPS,IMAPS加密流量代理解密后，并进行内容过滤，审计，安全防护；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智能威胁防御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支持防火墙与云沙箱，本地沙箱混合联动，敏感文件在本地沙箱检测，普通文件上传到云沙箱，及保护了客户敏感数据有提高了云检测能力；（提供功能截图）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可靠性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支持BFD链路检测，支持BFD与VRRP联动实现双机快速切换，支持BFD与OSPF联动实现双机快速切换；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 xml:space="preserve">支持HA平滑升级，升级窗口中支持不同版本的软件形成双机热备；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服务</w:t>
            </w:r>
          </w:p>
        </w:tc>
        <w:tc>
          <w:tcPr>
            <w:tcW w:w="6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/>
                <w:snapToGrid/>
                <w:color w:val="000000"/>
              </w:rPr>
            </w:pPr>
            <w:r>
              <w:rPr>
                <w:rFonts w:hint="eastAsia" w:ascii="宋体" w:hAnsi="宋体"/>
                <w:snapToGrid/>
                <w:color w:val="000000"/>
              </w:rPr>
              <w:t>原厂3年7*10*ND维保服务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FB"/>
    <w:rsid w:val="001930DB"/>
    <w:rsid w:val="002141AA"/>
    <w:rsid w:val="002D4DE3"/>
    <w:rsid w:val="00554D9D"/>
    <w:rsid w:val="005607BC"/>
    <w:rsid w:val="005872A6"/>
    <w:rsid w:val="005F78BE"/>
    <w:rsid w:val="00641F44"/>
    <w:rsid w:val="00757531"/>
    <w:rsid w:val="007E0616"/>
    <w:rsid w:val="00892A0D"/>
    <w:rsid w:val="00937D63"/>
    <w:rsid w:val="00981DFB"/>
    <w:rsid w:val="009A51B7"/>
    <w:rsid w:val="009F44D0"/>
    <w:rsid w:val="009F6732"/>
    <w:rsid w:val="00A17784"/>
    <w:rsid w:val="00A2698A"/>
    <w:rsid w:val="00D25780"/>
    <w:rsid w:val="00D70EFC"/>
    <w:rsid w:val="00FC7166"/>
    <w:rsid w:val="00FF4A39"/>
    <w:rsid w:val="04DC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Times New Roman"/>
      <w:snapToGrid w:val="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5"/>
    <w:semiHidden/>
    <w:unhideWhenUsed/>
    <w:qFormat/>
    <w:uiPriority w:val="99"/>
    <w:rPr>
      <w:rFonts w:ascii="宋体"/>
      <w:sz w:val="24"/>
      <w:szCs w:val="24"/>
    </w:rPr>
  </w:style>
  <w:style w:type="character" w:customStyle="1" w:styleId="5">
    <w:name w:val="文档结构图 字符"/>
    <w:basedOn w:val="4"/>
    <w:link w:val="2"/>
    <w:semiHidden/>
    <w:qFormat/>
    <w:uiPriority w:val="99"/>
    <w:rPr>
      <w:rFonts w:ascii="宋体" w:hAnsi="Times New Roman" w:eastAsia="宋体" w:cs="Times New Roman"/>
      <w:snapToGrid w:val="0"/>
      <w:kern w:val="0"/>
    </w:rPr>
  </w:style>
  <w:style w:type="paragraph" w:customStyle="1" w:styleId="6">
    <w:name w:val="Revision"/>
    <w:hidden/>
    <w:semiHidden/>
    <w:qFormat/>
    <w:uiPriority w:val="99"/>
    <w:rPr>
      <w:rFonts w:ascii="Times New Roman" w:hAnsi="Times New Roman" w:eastAsia="宋体" w:cs="Times New Roman"/>
      <w:snapToGrid w:val="0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1123</Characters>
  <Lines>9</Lines>
  <Paragraphs>2</Paragraphs>
  <TotalTime>15</TotalTime>
  <ScaleCrop>false</ScaleCrop>
  <LinksUpToDate>false</LinksUpToDate>
  <CharactersWithSpaces>1317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2020-08-27T06:07:00Z</dcterms:created>
  <dc:creator>wuzhihua</dc:creator>
  <cp:lastModifiedBy>Administrator</cp:lastModifiedBy>
  <dcterms:modified xsi:type="dcterms:W3CDTF">2020-09-07T08:25:14Z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